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AA0283" w:rsidRPr="00AA0283" w:rsidRDefault="00AA0283" w:rsidP="00AA0283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 veřejné zakázce </w:t>
      </w:r>
      <w:r w:rsidRPr="00AA0283">
        <w:rPr>
          <w:rFonts w:ascii="Arial" w:hAnsi="Arial" w:cs="Arial"/>
          <w:b/>
          <w:bCs/>
          <w:sz w:val="22"/>
          <w:szCs w:val="22"/>
        </w:rPr>
        <w:t>č. 56/2018</w:t>
      </w:r>
    </w:p>
    <w:p w:rsidR="00AA0283" w:rsidRPr="00AA0283" w:rsidRDefault="00AA0283" w:rsidP="00AA0283">
      <w:pPr>
        <w:jc w:val="center"/>
        <w:rPr>
          <w:rFonts w:ascii="Arial" w:hAnsi="Arial" w:cs="Arial"/>
          <w:b/>
        </w:rPr>
      </w:pPr>
      <w:r w:rsidRPr="00AA0283">
        <w:rPr>
          <w:rFonts w:ascii="Arial" w:hAnsi="Arial" w:cs="Arial"/>
          <w:b/>
        </w:rPr>
        <w:t>„Letecké snímkování území KRNAP a KPN včetně jejich ochranného pásma“,</w:t>
      </w:r>
    </w:p>
    <w:p w:rsidR="00AA0283" w:rsidRPr="00C061D0" w:rsidRDefault="00AA0283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588" w:rsidRDefault="00FA1588">
      <w:r>
        <w:separator/>
      </w:r>
    </w:p>
  </w:endnote>
  <w:endnote w:type="continuationSeparator" w:id="0">
    <w:p w:rsidR="00FA1588" w:rsidRDefault="00FA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588" w:rsidRDefault="00FA1588">
      <w:r>
        <w:separator/>
      </w:r>
    </w:p>
  </w:footnote>
  <w:footnote w:type="continuationSeparator" w:id="0">
    <w:p w:rsidR="00FA1588" w:rsidRDefault="00FA1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283" w:rsidRDefault="00AA0283" w:rsidP="00C061D0">
    <w:pPr>
      <w:pStyle w:val="Nzev"/>
      <w:rPr>
        <w:sz w:val="28"/>
        <w:szCs w:val="28"/>
      </w:rPr>
    </w:pPr>
    <w:r w:rsidRPr="00BE6627">
      <w:rPr>
        <w:noProof/>
      </w:rPr>
      <w:drawing>
        <wp:inline distT="0" distB="0" distL="0" distR="0">
          <wp:extent cx="5759450" cy="51496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0283" w:rsidRDefault="00AA0283" w:rsidP="00C061D0">
    <w:pPr>
      <w:pStyle w:val="Nzev"/>
      <w:rPr>
        <w:sz w:val="28"/>
        <w:szCs w:val="28"/>
      </w:rPr>
    </w:pPr>
  </w:p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05"/>
    <w:rsid w:val="002A5F53"/>
    <w:rsid w:val="002A62FB"/>
    <w:rsid w:val="002C1F03"/>
    <w:rsid w:val="002E5743"/>
    <w:rsid w:val="002F0920"/>
    <w:rsid w:val="002F3F64"/>
    <w:rsid w:val="00385748"/>
    <w:rsid w:val="003E4D4B"/>
    <w:rsid w:val="003F0ADF"/>
    <w:rsid w:val="004377F5"/>
    <w:rsid w:val="00437B91"/>
    <w:rsid w:val="00473047"/>
    <w:rsid w:val="004C69E8"/>
    <w:rsid w:val="004C6D8C"/>
    <w:rsid w:val="00512EAA"/>
    <w:rsid w:val="00524520"/>
    <w:rsid w:val="0052745D"/>
    <w:rsid w:val="0058594F"/>
    <w:rsid w:val="005901F6"/>
    <w:rsid w:val="005A6D81"/>
    <w:rsid w:val="005B5731"/>
    <w:rsid w:val="005C6902"/>
    <w:rsid w:val="005F6A19"/>
    <w:rsid w:val="0061261C"/>
    <w:rsid w:val="00623442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0782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A0283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04FBC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A1588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2018-05-30T08:51:00Z</dcterms:created>
  <dcterms:modified xsi:type="dcterms:W3CDTF">2018-05-30T08:51:00Z</dcterms:modified>
</cp:coreProperties>
</file>